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587696" w:rsidRPr="00BE569B" w:rsidTr="00587696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</w:rPr>
              <w:t>Баш</w:t>
            </w:r>
            <w:r w:rsidRPr="00BE569B">
              <w:rPr>
                <w:rFonts w:ascii="Times New Roman" w:hAnsi="Lucida Sans Unicode" w:cs="Lucida Sans Unicode"/>
                <w:lang w:val="be-BY"/>
              </w:rPr>
              <w:t>ҡ</w:t>
            </w:r>
            <w:r w:rsidRPr="00BE569B">
              <w:rPr>
                <w:rFonts w:ascii="Times New Roman" w:hAnsi="Times New Roman"/>
                <w:lang w:val="be-BY"/>
              </w:rPr>
              <w:t>ортостан Республикаһы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Бишбүләк районы муниципаль районы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Дим ауыл советы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ауыл  биләмәһе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СОВЕТЫ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 w:eastAsia="ar-SA"/>
              </w:rPr>
              <w:t xml:space="preserve">452059, БР, </w:t>
            </w:r>
            <w:r w:rsidRPr="00BE569B">
              <w:rPr>
                <w:rFonts w:ascii="Times New Roman" w:hAnsi="Times New Roman"/>
                <w:lang w:val="be-BY"/>
              </w:rPr>
              <w:t>Бишбүләк районы,Дим ауылы, Совет урамы, 2</w:t>
            </w:r>
          </w:p>
          <w:p w:rsidR="00587696" w:rsidRPr="004F7F69" w:rsidRDefault="00587696" w:rsidP="00587696">
            <w:pPr>
              <w:pStyle w:val="ac"/>
              <w:jc w:val="center"/>
              <w:rPr>
                <w:rFonts w:cs="Calibri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7696" w:rsidRPr="004F7F69" w:rsidRDefault="00587696" w:rsidP="00587696">
            <w:pPr>
              <w:pStyle w:val="ac"/>
              <w:rPr>
                <w:rFonts w:cs="Calibri"/>
              </w:rPr>
            </w:pPr>
            <w:r w:rsidRPr="004F7F69">
              <w:rPr>
                <w:rFonts w:cs="Calibri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8" o:title=""/>
                </v:shape>
                <o:OLEObject Type="Embed" ProgID="Word.Picture.8" ShapeID="_x0000_i1025" DrawAspect="Content" ObjectID="_1709990494" r:id="rId9"/>
              </w:object>
            </w:r>
          </w:p>
          <w:p w:rsidR="00587696" w:rsidRPr="004F7F69" w:rsidRDefault="00587696" w:rsidP="00587696">
            <w:pPr>
              <w:pStyle w:val="ac"/>
              <w:rPr>
                <w:rFonts w:cs="Calibri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Республика Башкортостан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муниципальный район Бижбулякский район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СОВЕТ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сельского поселения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Демский сельсовет</w:t>
            </w:r>
          </w:p>
          <w:p w:rsidR="00587696" w:rsidRPr="00BE569B" w:rsidRDefault="00587696" w:rsidP="00587696">
            <w:pPr>
              <w:pStyle w:val="ac"/>
              <w:jc w:val="center"/>
              <w:rPr>
                <w:rFonts w:ascii="Times New Roman" w:hAnsi="Times New Roman"/>
                <w:lang w:val="be-BY"/>
              </w:rPr>
            </w:pPr>
            <w:r w:rsidRPr="00BE569B">
              <w:rPr>
                <w:rFonts w:ascii="Times New Roman" w:hAnsi="Times New Roman"/>
                <w:lang w:val="be-BY" w:eastAsia="ar-SA"/>
              </w:rPr>
              <w:t xml:space="preserve">452059, РБ, </w:t>
            </w:r>
            <w:r w:rsidRPr="00BE569B">
              <w:rPr>
                <w:rFonts w:ascii="Times New Roman" w:hAnsi="Times New Roman"/>
                <w:lang w:val="be-BY"/>
              </w:rPr>
              <w:t>Бижбулякский район,село Демский,ул.Советская,2</w:t>
            </w:r>
          </w:p>
          <w:p w:rsidR="00587696" w:rsidRPr="004F7F69" w:rsidRDefault="00587696" w:rsidP="00587696">
            <w:pPr>
              <w:pStyle w:val="ac"/>
              <w:jc w:val="center"/>
              <w:rPr>
                <w:rFonts w:cs="Calibri"/>
                <w:lang w:val="be-BY"/>
              </w:rPr>
            </w:pPr>
            <w:r w:rsidRPr="00BE569B">
              <w:rPr>
                <w:rFonts w:ascii="Times New Roman" w:hAnsi="Times New Roman"/>
                <w:lang w:val="be-BY"/>
              </w:rPr>
              <w:t>8(347)4323540</w:t>
            </w:r>
          </w:p>
        </w:tc>
      </w:tr>
    </w:tbl>
    <w:p w:rsidR="00587696" w:rsidRDefault="00587696" w:rsidP="00587696">
      <w:pPr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3B4BB5" w:rsidRDefault="00F133CC">
      <w:pPr>
        <w:pStyle w:val="20"/>
        <w:shd w:val="clear" w:color="auto" w:fill="auto"/>
        <w:tabs>
          <w:tab w:val="left" w:pos="7406"/>
        </w:tabs>
        <w:spacing w:after="63" w:line="260" w:lineRule="exact"/>
        <w:ind w:left="720"/>
        <w:jc w:val="both"/>
      </w:pPr>
      <w:r>
        <w:t>КАРАР</w:t>
      </w:r>
      <w:r>
        <w:tab/>
        <w:t>РЕШЕНИЕ</w:t>
      </w:r>
    </w:p>
    <w:p w:rsidR="00587696" w:rsidRDefault="00587696">
      <w:pPr>
        <w:pStyle w:val="20"/>
        <w:shd w:val="clear" w:color="auto" w:fill="auto"/>
        <w:tabs>
          <w:tab w:val="left" w:pos="7406"/>
        </w:tabs>
        <w:spacing w:after="63" w:line="260" w:lineRule="exact"/>
        <w:ind w:left="720"/>
        <w:jc w:val="both"/>
      </w:pPr>
    </w:p>
    <w:p w:rsidR="003B4BB5" w:rsidRDefault="00F133CC">
      <w:pPr>
        <w:pStyle w:val="20"/>
        <w:shd w:val="clear" w:color="auto" w:fill="auto"/>
        <w:spacing w:after="0" w:line="322" w:lineRule="exact"/>
        <w:ind w:left="20"/>
      </w:pPr>
      <w:r>
        <w:t>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</w:t>
      </w:r>
    </w:p>
    <w:p w:rsidR="003B4BB5" w:rsidRDefault="00F133CC">
      <w:pPr>
        <w:pStyle w:val="20"/>
        <w:shd w:val="clear" w:color="auto" w:fill="auto"/>
        <w:spacing w:after="60" w:line="322" w:lineRule="exact"/>
        <w:ind w:left="40"/>
      </w:pPr>
      <w:r>
        <w:t xml:space="preserve">работ, услуг из бюджета сельского поселения </w:t>
      </w:r>
      <w:r w:rsidR="00E5011C">
        <w:t xml:space="preserve">Демский </w:t>
      </w:r>
      <w:r w:rsidR="00FC52AE">
        <w:t>с</w:t>
      </w:r>
      <w:r>
        <w:t xml:space="preserve">ельсовет муниципального района </w:t>
      </w:r>
      <w:r w:rsidR="00E5011C">
        <w:t xml:space="preserve">Бижбулякский </w:t>
      </w:r>
      <w:r>
        <w:t xml:space="preserve"> район Республики Башкортостан</w:t>
      </w:r>
    </w:p>
    <w:p w:rsidR="00587696" w:rsidRDefault="00587696">
      <w:pPr>
        <w:pStyle w:val="4"/>
        <w:shd w:val="clear" w:color="auto" w:fill="auto"/>
        <w:spacing w:before="0"/>
        <w:ind w:left="20" w:right="20" w:firstLine="580"/>
      </w:pPr>
    </w:p>
    <w:p w:rsidR="003B4BB5" w:rsidRDefault="00F133CC">
      <w:pPr>
        <w:pStyle w:val="4"/>
        <w:shd w:val="clear" w:color="auto" w:fill="auto"/>
        <w:spacing w:before="0"/>
        <w:ind w:left="20" w:right="20" w:firstLine="580"/>
      </w:pPr>
      <w:r>
        <w:t>В соответствии с</w:t>
      </w:r>
      <w:hyperlink r:id="rId10" w:history="1">
        <w:r>
          <w:rPr>
            <w:rStyle w:val="a3"/>
          </w:rPr>
          <w:t xml:space="preserve"> Бюджетным кодексом Р</w:t>
        </w:r>
      </w:hyperlink>
      <w:r>
        <w:t xml:space="preserve">оссийской Федерации, </w:t>
      </w:r>
      <w:hyperlink r:id="rId11" w:history="1">
        <w:r>
          <w:rPr>
            <w:rStyle w:val="a3"/>
          </w:rPr>
          <w:t xml:space="preserve">Федеральным законом </w:t>
        </w:r>
      </w:hyperlink>
      <w:r>
        <w:t xml:space="preserve">от 06 октября 2003 года </w:t>
      </w:r>
      <w:r>
        <w:rPr>
          <w:lang w:val="en-US" w:eastAsia="en-US" w:bidi="en-US"/>
        </w:rPr>
        <w:t>N</w:t>
      </w:r>
      <w:r w:rsidRPr="00E5011C">
        <w:rPr>
          <w:lang w:eastAsia="en-US" w:bidi="en-US"/>
        </w:rPr>
        <w:t xml:space="preserve"> </w:t>
      </w:r>
      <w:r>
        <w:t xml:space="preserve">131-ФЗ "Об общих принципах организации местного самоуправления в Российской Федерации", </w:t>
      </w:r>
      <w:hyperlink r:id="rId12" w:history="1">
        <w:r>
          <w:rPr>
            <w:rStyle w:val="a3"/>
          </w:rPr>
          <w:t xml:space="preserve">Постановлением </w:t>
        </w:r>
      </w:hyperlink>
      <w:r>
        <w:t xml:space="preserve">Правительства Российской Федерации от 18 сентября 2020 года </w:t>
      </w:r>
      <w:r>
        <w:rPr>
          <w:lang w:val="en-US" w:eastAsia="en-US" w:bidi="en-US"/>
        </w:rPr>
        <w:t>N</w:t>
      </w:r>
      <w:r w:rsidRPr="00E5011C">
        <w:rPr>
          <w:lang w:eastAsia="en-US" w:bidi="en-US"/>
        </w:rPr>
        <w:t xml:space="preserve"> </w:t>
      </w:r>
      <w:r>
        <w:t xml:space="preserve"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сельского поселения </w:t>
      </w:r>
      <w:r w:rsidR="00E5011C">
        <w:t>Демский</w:t>
      </w:r>
      <w:r>
        <w:t xml:space="preserve"> сельсовет муниципального района </w:t>
      </w:r>
      <w:r w:rsidR="00FC52AE">
        <w:t xml:space="preserve">Бижбулякский </w:t>
      </w:r>
      <w:r>
        <w:t xml:space="preserve"> район Республики Башкортостан, Совет сельского поселения </w:t>
      </w:r>
      <w:r w:rsidR="00FC52AE">
        <w:t xml:space="preserve">Демский сельсовет муниципального района Бижбулякский  </w:t>
      </w:r>
      <w:r>
        <w:t>район Республики Башкортостан РЕШИЛ</w:t>
      </w:r>
      <w:r>
        <w:rPr>
          <w:rStyle w:val="a5"/>
        </w:rPr>
        <w:t>:</w:t>
      </w:r>
    </w:p>
    <w:p w:rsidR="003B4BB5" w:rsidRDefault="00F133CC">
      <w:pPr>
        <w:pStyle w:val="4"/>
        <w:numPr>
          <w:ilvl w:val="0"/>
          <w:numId w:val="1"/>
        </w:numPr>
        <w:shd w:val="clear" w:color="auto" w:fill="auto"/>
        <w:spacing w:before="0"/>
        <w:ind w:left="20" w:right="20" w:firstLine="580"/>
      </w:pPr>
      <w:r>
        <w:t xml:space="preserve"> Утвердить прилагаемый «Порядок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FC52AE">
        <w:t xml:space="preserve">Демский сельсовет муниципального района Бижбулякский  </w:t>
      </w:r>
      <w:r>
        <w:t>Республики» в новой редакции.</w:t>
      </w:r>
    </w:p>
    <w:p w:rsidR="003B4BB5" w:rsidRDefault="00F133CC">
      <w:pPr>
        <w:pStyle w:val="4"/>
        <w:numPr>
          <w:ilvl w:val="0"/>
          <w:numId w:val="1"/>
        </w:numPr>
        <w:shd w:val="clear" w:color="auto" w:fill="auto"/>
        <w:spacing w:before="0"/>
        <w:ind w:left="20" w:firstLine="580"/>
      </w:pPr>
      <w:r>
        <w:t>Настоящее решение вступает в силу со дня его обнародования.</w:t>
      </w:r>
    </w:p>
    <w:p w:rsidR="003B4BB5" w:rsidRDefault="00F133CC">
      <w:pPr>
        <w:pStyle w:val="4"/>
        <w:numPr>
          <w:ilvl w:val="0"/>
          <w:numId w:val="1"/>
        </w:numPr>
        <w:shd w:val="clear" w:color="auto" w:fill="auto"/>
        <w:spacing w:before="0" w:after="349"/>
        <w:ind w:left="20" w:firstLine="580"/>
      </w:pPr>
      <w:r>
        <w:t xml:space="preserve"> Контроль за исполнением настоящего решения оставляю за собой.</w:t>
      </w:r>
    </w:p>
    <w:p w:rsidR="003B4BB5" w:rsidRDefault="00F133CC">
      <w:pPr>
        <w:pStyle w:val="4"/>
        <w:shd w:val="clear" w:color="auto" w:fill="auto"/>
        <w:tabs>
          <w:tab w:val="center" w:pos="7181"/>
        </w:tabs>
        <w:spacing w:before="0" w:after="183" w:line="260" w:lineRule="exact"/>
        <w:ind w:left="720"/>
      </w:pPr>
      <w:r>
        <w:t>Глава сельского</w:t>
      </w:r>
      <w:r w:rsidR="00EA7C88">
        <w:t xml:space="preserve"> поселения                                           С.М.Ходак</w:t>
      </w:r>
    </w:p>
    <w:p w:rsidR="00EA7C88" w:rsidRDefault="00EA7C88">
      <w:pPr>
        <w:pStyle w:val="4"/>
        <w:shd w:val="clear" w:color="auto" w:fill="auto"/>
        <w:tabs>
          <w:tab w:val="center" w:pos="7181"/>
        </w:tabs>
        <w:spacing w:before="0" w:after="183" w:line="260" w:lineRule="exact"/>
        <w:ind w:left="720"/>
      </w:pPr>
    </w:p>
    <w:p w:rsidR="00EA7C88" w:rsidRDefault="00EA7C88" w:rsidP="00EA7C88">
      <w:pPr>
        <w:pStyle w:val="4"/>
        <w:shd w:val="clear" w:color="auto" w:fill="auto"/>
        <w:tabs>
          <w:tab w:val="center" w:pos="7181"/>
        </w:tabs>
        <w:spacing w:before="0" w:after="183" w:line="260" w:lineRule="exact"/>
        <w:ind w:left="720"/>
      </w:pPr>
      <w:r>
        <w:t>с. Демский</w:t>
      </w:r>
    </w:p>
    <w:p w:rsidR="00EA7C88" w:rsidRPr="00EA7C88" w:rsidRDefault="00EA7C88" w:rsidP="00EA7C88">
      <w:pPr>
        <w:pStyle w:val="4"/>
        <w:shd w:val="clear" w:color="auto" w:fill="auto"/>
        <w:tabs>
          <w:tab w:val="center" w:pos="7181"/>
        </w:tabs>
        <w:spacing w:before="0" w:after="183" w:line="260" w:lineRule="exact"/>
        <w:ind w:left="720"/>
      </w:pPr>
      <w:r w:rsidRPr="00EA7C88">
        <w:t xml:space="preserve">16  </w:t>
      </w:r>
      <w:r>
        <w:t>марта</w:t>
      </w:r>
      <w:r w:rsidRPr="00EA7C88">
        <w:t xml:space="preserve">  2022г.</w:t>
      </w:r>
    </w:p>
    <w:p w:rsidR="00FC52AE" w:rsidRPr="00587696" w:rsidRDefault="00EA7C88" w:rsidP="00587696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 w:rsidRPr="00EA7C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EA7C88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bookmarkStart w:id="0" w:name="_GoBack"/>
      <w:bookmarkEnd w:id="0"/>
      <w:r w:rsidRPr="00EA7C88">
        <w:rPr>
          <w:rFonts w:ascii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A7C88">
        <w:rPr>
          <w:rFonts w:ascii="Times New Roman" w:hAnsi="Times New Roman" w:cs="Times New Roman"/>
          <w:color w:val="000000"/>
          <w:sz w:val="26"/>
          <w:szCs w:val="26"/>
        </w:rPr>
        <w:t xml:space="preserve"> /26-04</w:t>
      </w:r>
    </w:p>
    <w:p w:rsidR="00FC52AE" w:rsidRDefault="00FC52AE">
      <w:pPr>
        <w:pStyle w:val="4"/>
        <w:shd w:val="clear" w:color="auto" w:fill="auto"/>
        <w:spacing w:before="0" w:line="298" w:lineRule="exact"/>
        <w:ind w:left="20" w:right="7500"/>
        <w:jc w:val="left"/>
      </w:pPr>
    </w:p>
    <w:p w:rsidR="00FC52AE" w:rsidRDefault="00FC52AE">
      <w:pPr>
        <w:pStyle w:val="4"/>
        <w:shd w:val="clear" w:color="auto" w:fill="auto"/>
        <w:spacing w:before="0" w:line="298" w:lineRule="exact"/>
        <w:ind w:left="20" w:right="7500"/>
        <w:jc w:val="left"/>
      </w:pPr>
    </w:p>
    <w:p w:rsidR="00FC52AE" w:rsidRDefault="00FC52AE">
      <w:pPr>
        <w:pStyle w:val="4"/>
        <w:shd w:val="clear" w:color="auto" w:fill="auto"/>
        <w:spacing w:before="0" w:line="298" w:lineRule="exact"/>
        <w:ind w:left="20" w:right="7500"/>
        <w:jc w:val="left"/>
      </w:pPr>
    </w:p>
    <w:p w:rsidR="003B4BB5" w:rsidRDefault="00F133CC">
      <w:pPr>
        <w:pStyle w:val="30"/>
        <w:shd w:val="clear" w:color="auto" w:fill="auto"/>
        <w:spacing w:after="543"/>
        <w:ind w:left="5120" w:right="300"/>
      </w:pPr>
      <w:r>
        <w:t xml:space="preserve">Утвержден решением Совета сельского поселения </w:t>
      </w:r>
      <w:r w:rsidR="00FC52AE">
        <w:t xml:space="preserve">Демский сельсовет муниципального района Бижбулякский  </w:t>
      </w:r>
      <w:r>
        <w:t xml:space="preserve">район Республики Башкортостан от </w:t>
      </w:r>
      <w:r w:rsidR="00EA7C88">
        <w:t>16</w:t>
      </w:r>
      <w:r>
        <w:t xml:space="preserve">.03.2022г. № </w:t>
      </w:r>
      <w:r w:rsidR="00EA7C88">
        <w:t>75</w:t>
      </w:r>
    </w:p>
    <w:p w:rsidR="003B4BB5" w:rsidRDefault="00F133CC">
      <w:pPr>
        <w:pStyle w:val="20"/>
        <w:shd w:val="clear" w:color="auto" w:fill="auto"/>
        <w:spacing w:after="0" w:line="322" w:lineRule="exact"/>
        <w:ind w:left="4520"/>
        <w:jc w:val="left"/>
      </w:pPr>
      <w:r>
        <w:t>Порядок</w:t>
      </w:r>
    </w:p>
    <w:p w:rsidR="003B4BB5" w:rsidRDefault="00F133CC">
      <w:pPr>
        <w:pStyle w:val="20"/>
        <w:shd w:val="clear" w:color="auto" w:fill="auto"/>
        <w:spacing w:line="322" w:lineRule="exact"/>
      </w:pPr>
      <w:r>
        <w:t xml:space="preserve">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FC52AE">
        <w:t xml:space="preserve">Демский сельсовет муниципального района Бижбулякский  </w:t>
      </w:r>
      <w:r>
        <w:t>район Республики Башкортостан</w:t>
      </w:r>
    </w:p>
    <w:p w:rsidR="003B4BB5" w:rsidRDefault="00F133CC">
      <w:pPr>
        <w:pStyle w:val="20"/>
        <w:numPr>
          <w:ilvl w:val="0"/>
          <w:numId w:val="2"/>
        </w:numPr>
        <w:shd w:val="clear" w:color="auto" w:fill="auto"/>
        <w:tabs>
          <w:tab w:val="left" w:pos="3848"/>
        </w:tabs>
        <w:spacing w:after="0" w:line="322" w:lineRule="exact"/>
        <w:ind w:left="3540"/>
        <w:jc w:val="both"/>
      </w:pPr>
      <w:r>
        <w:t>Общие положения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720"/>
      </w:pPr>
      <w:r>
        <w:t xml:space="preserve"> Настоящий Порядок разработан в соответствии с пунктами 3 и </w:t>
      </w:r>
      <w:hyperlink r:id="rId13" w:history="1">
        <w:r>
          <w:rPr>
            <w:rStyle w:val="a3"/>
          </w:rPr>
          <w:t>4</w:t>
        </w:r>
      </w:hyperlink>
      <w:r>
        <w:t xml:space="preserve"> </w:t>
      </w:r>
      <w:hyperlink r:id="rId14" w:history="1">
        <w:r>
          <w:rPr>
            <w:rStyle w:val="a3"/>
          </w:rPr>
          <w:t>статьи 78, пунктами 2 и 4 статьи 78.1 Б</w:t>
        </w:r>
      </w:hyperlink>
      <w:r>
        <w:t>юджетного кодекса Российской Федерации</w:t>
      </w:r>
      <w:hyperlink r:id="rId15" w:history="1">
        <w:r>
          <w:rPr>
            <w:rStyle w:val="a3"/>
          </w:rPr>
          <w:t>, Постановлением П</w:t>
        </w:r>
      </w:hyperlink>
      <w:r>
        <w:t>равительства Российской Федерации от 18 сентября 2020 года №1492 «Об об</w:t>
      </w:r>
      <w:r>
        <w:rPr>
          <w:rStyle w:val="1"/>
        </w:rPr>
        <w:t>щи</w:t>
      </w:r>
      <w:r>
        <w:t xml:space="preserve">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из бюджета сельского поселения </w:t>
      </w:r>
      <w:r w:rsidR="00FC52AE">
        <w:t xml:space="preserve">Демский сельсовет муниципального района Бижбулякский  </w:t>
      </w:r>
      <w:r>
        <w:t>район Республики Башкортостан юридическим лицам, индивидуальным предпринимателям, а также физическим лицам - производителям товаров, работ, услуг.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720"/>
      </w:pPr>
      <w: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3B4BB5" w:rsidRDefault="00F133CC">
      <w:pPr>
        <w:pStyle w:val="4"/>
        <w:shd w:val="clear" w:color="auto" w:fill="auto"/>
        <w:spacing w:before="0"/>
        <w:ind w:firstLine="720"/>
      </w:pPr>
      <w:r>
        <w:t>а) возмещения недополученных доходов;</w:t>
      </w:r>
    </w:p>
    <w:p w:rsidR="003B4BB5" w:rsidRDefault="00F133CC">
      <w:pPr>
        <w:pStyle w:val="4"/>
        <w:shd w:val="clear" w:color="auto" w:fill="auto"/>
        <w:spacing w:before="0"/>
        <w:ind w:firstLine="720"/>
      </w:pPr>
      <w:r>
        <w:t>б) финансового обеспечения (возмещения) затрат;</w:t>
      </w:r>
    </w:p>
    <w:p w:rsidR="003B4BB5" w:rsidRDefault="00F133CC">
      <w:pPr>
        <w:pStyle w:val="4"/>
        <w:shd w:val="clear" w:color="auto" w:fill="auto"/>
        <w:spacing w:before="0"/>
        <w:ind w:firstLine="720"/>
      </w:pPr>
      <w:r>
        <w:t>в) предоставления грантов в форме субсидий.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right="20" w:firstLine="720"/>
      </w:pPr>
      <w:r>
        <w:t xml:space="preserve"> Администрация сельского поселения </w:t>
      </w:r>
      <w:r w:rsidR="00FC52AE">
        <w:t xml:space="preserve">Демский сельсовет муниципального района Бижбулякский  </w:t>
      </w:r>
      <w:r>
        <w:t xml:space="preserve">район Республики Башкортостан (далее - Администрация СП) является главным распорядителем средств бюджета сельского сельсовета </w:t>
      </w:r>
      <w:r w:rsidR="00FC52AE">
        <w:t xml:space="preserve">Демский сельсовет муниципального района Бижбулякский  </w:t>
      </w:r>
      <w:r>
        <w:t>район Республики Башкортостан (далее - главный распорядитель), осуществляющим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Получателем субсидии, в том числе гранта в форме субсидии, является победитель конкурсного отбора, либо, если получатель субсидии (гранта в форме </w:t>
      </w:r>
      <w:r>
        <w:lastRenderedPageBreak/>
        <w:t xml:space="preserve">субсидии) определен в соответствии с решением Совета сельского поселения </w:t>
      </w:r>
      <w:r w:rsidR="00FC52AE">
        <w:t xml:space="preserve">Демский сельсовет муниципального района Бижбулякский  </w:t>
      </w:r>
      <w:r>
        <w:t xml:space="preserve">район Республики Башкортостан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сельского поселения </w:t>
      </w:r>
      <w:r w:rsidR="00FC52AE">
        <w:t xml:space="preserve">Демский сельсовет муниципального района Бижбулякский  </w:t>
      </w:r>
      <w:r>
        <w:t>район Республики Башкортостан.</w:t>
      </w:r>
    </w:p>
    <w:p w:rsidR="003B4BB5" w:rsidRDefault="00F133CC">
      <w:pPr>
        <w:pStyle w:val="4"/>
        <w:shd w:val="clear" w:color="auto" w:fill="auto"/>
        <w:spacing w:before="0"/>
        <w:ind w:left="20" w:right="20" w:firstLine="720"/>
      </w:pPr>
      <w:r>
        <w:t>Критерии, условия и порядок конкурсного отбора утверждены настоящим постановлением.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Критериями отбора получателей субсидий, имею</w:t>
      </w:r>
      <w:r>
        <w:rPr>
          <w:rStyle w:val="1"/>
        </w:rPr>
        <w:t>щи</w:t>
      </w:r>
      <w:r>
        <w:t xml:space="preserve">х право на получение субсидий из бюджета сельского поселения </w:t>
      </w:r>
      <w:r w:rsidR="00FC52AE">
        <w:t xml:space="preserve">Демский сельсовет муниципального района Бижбулякский  </w:t>
      </w:r>
      <w:r>
        <w:t>район Республики Башкортостан,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3B4BB5" w:rsidRDefault="00F133CC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BB5" w:rsidRDefault="00F133CC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отсутствие просроченной задолженности по возврату в бюджет сельского поселения </w:t>
      </w:r>
      <w:r w:rsidR="0052666C">
        <w:t xml:space="preserve">Демский сельсовет муниципального района Бижбулякский  </w:t>
      </w:r>
      <w:r>
        <w:t xml:space="preserve">район Республики Башкортостан субсидий, бюджетных инвестиций, а также иной просроченной (неурегулированной) задолженности по денежным обязательствам перед бюджетом сельского поселения </w:t>
      </w:r>
      <w:r w:rsidR="0052666C">
        <w:t xml:space="preserve">Демский сельсовет муниципального района Бижбулякский  </w:t>
      </w:r>
      <w:r>
        <w:t xml:space="preserve">район Республики Башкортостан, из бюджета которого планируется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Башкортостан;</w:t>
      </w:r>
    </w:p>
    <w:p w:rsidR="003B4BB5" w:rsidRDefault="00F133CC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4BB5" w:rsidRDefault="00F133CC">
      <w:pPr>
        <w:pStyle w:val="4"/>
        <w:numPr>
          <w:ilvl w:val="0"/>
          <w:numId w:val="3"/>
        </w:numPr>
        <w:shd w:val="clear" w:color="auto" w:fill="auto"/>
        <w:spacing w:before="0"/>
        <w:ind w:left="20" w:firstLine="720"/>
      </w:pPr>
      <w: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</w:r>
      <w:r>
        <w:lastRenderedPageBreak/>
        <w:t>индивидуальном предпринимателе и о физическом лице - производителе товаров, работ, услуг, являющихся участниками отбора;</w:t>
      </w:r>
    </w:p>
    <w:p w:rsidR="003B4BB5" w:rsidRDefault="00F133CC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4BB5" w:rsidRDefault="00F133CC">
      <w:pPr>
        <w:pStyle w:val="4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получатели субсидий не должны получать средства из бюджета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 в соответствии с иными нормативными правовыми актами Российской Федерации, Республики Башкортостан, муниципальными актами на цели, указанные в пункте 1.2 настоящего Порядка;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tabs>
          <w:tab w:val="left" w:pos="1321"/>
        </w:tabs>
        <w:spacing w:before="0"/>
        <w:ind w:left="20" w:right="20" w:firstLine="720"/>
      </w:pPr>
      <w:r>
        <w:t>В случае если получатель субсидии (гранта в форме субсидии) определен в соответствии с решением Совета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3B4BB5" w:rsidRDefault="00F133CC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B4BB5" w:rsidRDefault="00F133CC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отсутствие просроченной задолженности по возврату в бюджет сельского поселения </w:t>
      </w:r>
      <w:r w:rsidR="0052666C">
        <w:t xml:space="preserve">Демский сельсовет муниципального района Бижбулякский  </w:t>
      </w:r>
      <w:r>
        <w:t xml:space="preserve">район Республики Башкортостан субсидий, бюджетных инвестиций, а также иной просроченной (неурегулированной) задолженности по денежным обязательствам перед бюджетом сельского поселения </w:t>
      </w:r>
      <w:r w:rsidR="0052666C">
        <w:t xml:space="preserve">Демский сельсовет муниципального района Бижбулякский  </w:t>
      </w:r>
      <w:r>
        <w:t xml:space="preserve">район Республики Башкортостан, из бюджета которого планируется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Башкортостан;</w:t>
      </w:r>
    </w:p>
    <w:p w:rsidR="003B4BB5" w:rsidRDefault="00F133CC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3B4BB5" w:rsidRDefault="00F133CC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>
        <w:lastRenderedPageBreak/>
        <w:t>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B4BB5" w:rsidRDefault="00F133CC">
      <w:pPr>
        <w:pStyle w:val="4"/>
        <w:numPr>
          <w:ilvl w:val="0"/>
          <w:numId w:val="4"/>
        </w:numPr>
        <w:shd w:val="clear" w:color="auto" w:fill="auto"/>
        <w:spacing w:before="0"/>
        <w:ind w:left="20" w:right="20" w:firstLine="700"/>
      </w:pPr>
      <w: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4BB5" w:rsidRDefault="00F133CC">
      <w:pPr>
        <w:pStyle w:val="4"/>
        <w:numPr>
          <w:ilvl w:val="0"/>
          <w:numId w:val="4"/>
        </w:numPr>
        <w:shd w:val="clear" w:color="auto" w:fill="auto"/>
        <w:spacing w:before="0" w:after="240"/>
        <w:ind w:left="20" w:right="20" w:firstLine="700"/>
      </w:pPr>
      <w:r>
        <w:t xml:space="preserve"> получатели субсидий не должны получать средства из бюджета сельского поселения </w:t>
      </w:r>
      <w:r w:rsidR="00EA7C88">
        <w:t xml:space="preserve">Демский сельсовет муниципального района Бижбулякский </w:t>
      </w:r>
      <w:r>
        <w:t>район Республики Башкортостан в соответствии с иными нормативными правовыми актами Российской Федерации, Республики Башкортостан, муниципальными актами на цели, указанные в пункте 1.2 настоящего Порядка;</w:t>
      </w:r>
    </w:p>
    <w:p w:rsidR="003B4BB5" w:rsidRDefault="00F133C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62"/>
        </w:tabs>
        <w:spacing w:before="0"/>
        <w:ind w:left="1740"/>
      </w:pPr>
      <w:bookmarkStart w:id="1" w:name="bookmark0"/>
      <w:r>
        <w:t>Условия и порядок предоставления субсидий</w:t>
      </w:r>
      <w:bookmarkEnd w:id="1"/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Критериями отбора получателей субсидий, имею</w:t>
      </w:r>
      <w:r>
        <w:rPr>
          <w:rStyle w:val="1"/>
        </w:rPr>
        <w:t>щи</w:t>
      </w:r>
      <w:r>
        <w:t xml:space="preserve">х право на получение субсидий из бюджета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Башкортостан, являются: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t xml:space="preserve"> фактическое оказание коммунальных услуг населению на территории сельского поселения </w:t>
      </w:r>
      <w:r w:rsidR="00EA7C88">
        <w:t xml:space="preserve">Демский </w:t>
      </w:r>
      <w:r>
        <w:t xml:space="preserve"> сельсовет.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t xml:space="preserve"> отсутствие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 актуальность и социальная значимость оказания услуг.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Субсидии не предоставляются юридическим лицам, индивидуальным предпринимателям: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firstLine="700"/>
      </w:pPr>
      <w:r>
        <w:t xml:space="preserve"> находящимся в стадии реорганизации, ликвидации или банкротства;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t xml:space="preserve">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 Российской Федерации.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настоящим Порядком и Соглашением.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Предоставление субсидий из бюджета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</w:t>
      </w:r>
    </w:p>
    <w:p w:rsidR="003B4BB5" w:rsidRDefault="00F133CC">
      <w:pPr>
        <w:pStyle w:val="4"/>
        <w:shd w:val="clear" w:color="auto" w:fill="auto"/>
        <w:spacing w:before="0" w:line="317" w:lineRule="exact"/>
        <w:ind w:left="20" w:right="20"/>
      </w:pPr>
      <w:r>
        <w:t>Башкортостан осуществляется по мере предоставления заявки Получателем не чаще одного раза в месяц и не реже 1 раза в квартал.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 w:line="317" w:lineRule="exact"/>
        <w:ind w:left="20" w:right="20" w:firstLine="700"/>
      </w:pPr>
      <w:r>
        <w:t xml:space="preserve"> Для получения субсидий лица, указанные в пункте 1.2 настоящего Порядка, предоставляют в Администрацию следующие документы:</w:t>
      </w:r>
    </w:p>
    <w:p w:rsidR="003B4BB5" w:rsidRDefault="00F133CC">
      <w:pPr>
        <w:pStyle w:val="4"/>
        <w:numPr>
          <w:ilvl w:val="0"/>
          <w:numId w:val="6"/>
        </w:numPr>
        <w:shd w:val="clear" w:color="auto" w:fill="auto"/>
        <w:tabs>
          <w:tab w:val="left" w:pos="643"/>
        </w:tabs>
        <w:spacing w:before="0" w:line="326" w:lineRule="exact"/>
        <w:ind w:left="20" w:right="20"/>
      </w:pPr>
      <w:r>
        <w:t>письменное заявление о предоставлении субсидии с указанием цели использования субсидии;</w:t>
      </w:r>
    </w:p>
    <w:p w:rsidR="003B4BB5" w:rsidRDefault="00F133CC">
      <w:pPr>
        <w:pStyle w:val="4"/>
        <w:numPr>
          <w:ilvl w:val="0"/>
          <w:numId w:val="6"/>
        </w:numPr>
        <w:shd w:val="clear" w:color="auto" w:fill="auto"/>
        <w:tabs>
          <w:tab w:val="left" w:pos="643"/>
        </w:tabs>
        <w:spacing w:before="0" w:line="326" w:lineRule="exact"/>
        <w:ind w:left="20" w:right="20"/>
      </w:pPr>
      <w:r>
        <w:t xml:space="preserve">копии учредительных документов, заверенные нотариально или с </w:t>
      </w:r>
      <w:r>
        <w:lastRenderedPageBreak/>
        <w:t>предъявлением оригиналов;</w:t>
      </w:r>
    </w:p>
    <w:p w:rsidR="003B4BB5" w:rsidRDefault="00F133CC">
      <w:pPr>
        <w:pStyle w:val="4"/>
        <w:numPr>
          <w:ilvl w:val="0"/>
          <w:numId w:val="6"/>
        </w:numPr>
        <w:shd w:val="clear" w:color="auto" w:fill="auto"/>
        <w:tabs>
          <w:tab w:val="left" w:pos="643"/>
        </w:tabs>
        <w:spacing w:before="0" w:line="326" w:lineRule="exact"/>
        <w:ind w:left="20" w:right="20"/>
      </w:pPr>
      <w:r>
        <w:t>копию свидетельства о государственной регистрации в качестве юридического лица или индивидуального предпринимателя, заверенную нотариально или с предъявлением оригинала;</w:t>
      </w:r>
    </w:p>
    <w:p w:rsidR="003B4BB5" w:rsidRDefault="00F133CC">
      <w:pPr>
        <w:pStyle w:val="4"/>
        <w:numPr>
          <w:ilvl w:val="0"/>
          <w:numId w:val="6"/>
        </w:numPr>
        <w:shd w:val="clear" w:color="auto" w:fill="auto"/>
        <w:tabs>
          <w:tab w:val="left" w:pos="643"/>
        </w:tabs>
        <w:spacing w:before="0" w:after="3" w:line="260" w:lineRule="exact"/>
        <w:ind w:left="20"/>
      </w:pPr>
      <w:r>
        <w:t>копию свидетельства о постановке на учёт в налоговом органе;</w:t>
      </w:r>
    </w:p>
    <w:p w:rsidR="003B4BB5" w:rsidRDefault="00F133CC">
      <w:pPr>
        <w:pStyle w:val="4"/>
        <w:numPr>
          <w:ilvl w:val="0"/>
          <w:numId w:val="6"/>
        </w:numPr>
        <w:shd w:val="clear" w:color="auto" w:fill="auto"/>
        <w:tabs>
          <w:tab w:val="left" w:pos="643"/>
        </w:tabs>
        <w:spacing w:before="0"/>
        <w:ind w:left="20" w:right="20"/>
      </w:pPr>
      <w:r>
        <w:t>копию годовой бухгалтерской отчётности Получателя субсидии за предыдущий отчётный бухгалтерский период, заверенную руководителем Получателя субсидии либо уполномоченным сотрудником;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Администрация в порядке межведомственного взаимодействия в срок, не превышающий пяти рабочих дней со дня регистрации заявки запрашивает:</w:t>
      </w:r>
    </w:p>
    <w:p w:rsidR="003B4BB5" w:rsidRDefault="00F133CC">
      <w:pPr>
        <w:pStyle w:val="4"/>
        <w:numPr>
          <w:ilvl w:val="0"/>
          <w:numId w:val="6"/>
        </w:numPr>
        <w:shd w:val="clear" w:color="auto" w:fill="auto"/>
        <w:tabs>
          <w:tab w:val="left" w:pos="643"/>
        </w:tabs>
        <w:spacing w:before="0"/>
        <w:ind w:left="20" w:right="20"/>
      </w:pPr>
      <w:r>
        <w:t>выписку из единого государственного реестра юридических лиц (индивидуальных предпринимателей);</w:t>
      </w:r>
    </w:p>
    <w:p w:rsidR="003B4BB5" w:rsidRDefault="00F133CC">
      <w:pPr>
        <w:pStyle w:val="4"/>
        <w:shd w:val="clear" w:color="auto" w:fill="auto"/>
        <w:spacing w:before="0"/>
        <w:ind w:left="380"/>
        <w:jc w:val="left"/>
      </w:pPr>
      <w:r>
        <w:t>• содержание достоверных сведений, представленных в документах;</w:t>
      </w:r>
    </w:p>
    <w:p w:rsidR="003B4BB5" w:rsidRDefault="00F133CC">
      <w:pPr>
        <w:pStyle w:val="4"/>
        <w:shd w:val="clear" w:color="auto" w:fill="auto"/>
        <w:spacing w:before="0"/>
        <w:ind w:left="20" w:right="20" w:firstLine="700"/>
      </w:pPr>
      <w:r>
        <w:t>Документы, указанные в настоящем пункте, субъект предпринимательства вправе представить в Администрацию по собственной инициативе.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Администрация является уполномоченным органом по приёму документов и принятию решения о предоставлении или отказе в предоставлении субсидии, определении размера субсидии (в пределах бюджетных ассигнований, предусмотренных сводной бюджетной росписью и лимитами бюджетных обязательств).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Заявление на субсидию считается принятым с даты поступления полного пакета документов, указанных в пункте 2.4. настоящего Порядка.</w:t>
      </w:r>
    </w:p>
    <w:p w:rsidR="003B4BB5" w:rsidRDefault="00F133CC">
      <w:pPr>
        <w:pStyle w:val="4"/>
        <w:shd w:val="clear" w:color="auto" w:fill="auto"/>
        <w:spacing w:before="0"/>
        <w:ind w:left="20" w:right="20" w:firstLine="540"/>
        <w:jc w:val="left"/>
      </w:pPr>
      <w:r>
        <w:t>Заявление и предоставленные документы рассматриваются в течение пяти календарных дней со дня регистрации заявления о предоставлении субсидии.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Решение о предоставлении субсидии принимается в течение десяти календарных дней со дня регистрации заявления о предоставлении субсидии и оформляется постановлением Администрации о предоставлении субсидии из бюджета сельского поселения </w:t>
      </w:r>
      <w:r w:rsidR="00EA7C88">
        <w:t>Демский</w:t>
      </w:r>
      <w:r>
        <w:t xml:space="preserve"> сельсовет.</w:t>
      </w:r>
    </w:p>
    <w:p w:rsidR="003B4BB5" w:rsidRDefault="00F133CC">
      <w:pPr>
        <w:pStyle w:val="4"/>
        <w:shd w:val="clear" w:color="auto" w:fill="auto"/>
        <w:spacing w:before="0"/>
        <w:ind w:left="20" w:right="20" w:firstLine="700"/>
      </w:pPr>
      <w:r>
        <w:t>Перечисление Субсидии осуществляется на счет Получателя не позднее 5 рабочих дней после принятия Главным распорядителем решения о предоставлении субсидии.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00"/>
      </w:pPr>
      <w:r>
        <w:t xml:space="preserve"> Предоставление субсидии осуществляется на основании Соглашений (договоров), заключенных между Главным распорядителем бюджетных средств местного бюджета и Получателем субсидии в соответствии с настоящим Порядком.</w:t>
      </w:r>
    </w:p>
    <w:p w:rsidR="003B4BB5" w:rsidRDefault="00F133CC">
      <w:pPr>
        <w:pStyle w:val="4"/>
        <w:shd w:val="clear" w:color="auto" w:fill="auto"/>
        <w:spacing w:before="0"/>
        <w:ind w:left="20" w:right="20" w:firstLine="700"/>
      </w:pPr>
      <w:r>
        <w:t>2.11 . Основания для отказа получателю субсидии в предоставлении субсидии: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540"/>
      </w:pPr>
      <w:r>
        <w:t xml:space="preserve"> несоответствие представленных получателем субсидии документов требованиям, определенным пунктом 2.4. настоящего Порядка, или непредставление (предоставление не в полном объеме) указанных документов;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firstLine="540"/>
      </w:pPr>
      <w:r>
        <w:t xml:space="preserve"> недостоверность представленной получателем субсидии информации;</w:t>
      </w:r>
    </w:p>
    <w:p w:rsidR="003B4BB5" w:rsidRDefault="00F133CC">
      <w:pPr>
        <w:pStyle w:val="4"/>
        <w:numPr>
          <w:ilvl w:val="0"/>
          <w:numId w:val="5"/>
        </w:numPr>
        <w:shd w:val="clear" w:color="auto" w:fill="auto"/>
        <w:spacing w:before="0"/>
        <w:ind w:left="20" w:right="20" w:firstLine="540"/>
      </w:pPr>
      <w:r>
        <w:t xml:space="preserve"> предоставленные документы не подтверждают право на возмещение затрат по тарифам не обеспечивающим возмещение издержек.</w:t>
      </w:r>
    </w:p>
    <w:p w:rsidR="003B4BB5" w:rsidRDefault="00F133CC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720"/>
      </w:pPr>
      <w:r>
        <w:t xml:space="preserve"> В случае отказа в предоставлении субсидии лица, указанные в пункте 1.2 настоящего Порядка, уведомляются Администрацией в письменной форме в течение тридцати календарных дней со дня получения заявления о предоставлении субсидии.</w:t>
      </w:r>
    </w:p>
    <w:p w:rsidR="003B4BB5" w:rsidRDefault="00F133CC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720"/>
      </w:pPr>
      <w:r>
        <w:t xml:space="preserve"> Соглашение о предоставлении субсидии заключается на текущий финансовый год.</w:t>
      </w:r>
    </w:p>
    <w:p w:rsidR="003B4BB5" w:rsidRDefault="00F133CC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720"/>
      </w:pPr>
      <w:r>
        <w:lastRenderedPageBreak/>
        <w:t xml:space="preserve"> Соглашение о предоставлении субсидии из соответствующего бюджета бюджетной системы Российской Федерации заключается между Главным распорядителем и Получателем субсидии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субсидии.</w:t>
      </w:r>
    </w:p>
    <w:p w:rsidR="003B4BB5" w:rsidRDefault="00F133CC">
      <w:pPr>
        <w:pStyle w:val="4"/>
        <w:shd w:val="clear" w:color="auto" w:fill="auto"/>
        <w:spacing w:before="0"/>
        <w:ind w:left="20" w:right="20" w:firstLine="720"/>
      </w:pPr>
      <w:r>
        <w:t>Средства субсидии могут быть направлены получателем субсидии только на цели, указанные в п. 1.2 настоящего Порядка. Использование субсидии на иные цели не допускается.</w:t>
      </w:r>
    </w:p>
    <w:p w:rsidR="003B4BB5" w:rsidRDefault="00F133CC">
      <w:pPr>
        <w:pStyle w:val="4"/>
        <w:numPr>
          <w:ilvl w:val="0"/>
          <w:numId w:val="7"/>
        </w:numPr>
        <w:shd w:val="clear" w:color="auto" w:fill="auto"/>
        <w:spacing w:before="0"/>
        <w:ind w:left="20" w:right="20" w:firstLine="720"/>
      </w:pPr>
      <w:r>
        <w:t xml:space="preserve"> Размеры субсидий на соответствующий ее вид определяется в решении Совета о бюджете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 на год, в котором планируется предоставление субсидии, и плановые периоды.</w:t>
      </w:r>
    </w:p>
    <w:p w:rsidR="003B4BB5" w:rsidRDefault="00F133CC">
      <w:pPr>
        <w:pStyle w:val="4"/>
        <w:numPr>
          <w:ilvl w:val="0"/>
          <w:numId w:val="7"/>
        </w:numPr>
        <w:shd w:val="clear" w:color="auto" w:fill="auto"/>
        <w:spacing w:before="0" w:after="240"/>
        <w:ind w:left="20" w:right="20" w:firstLine="720"/>
      </w:pPr>
      <w:r>
        <w:t xml:space="preserve">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4BB5" w:rsidRDefault="00F133C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407"/>
        </w:tabs>
        <w:spacing w:before="0"/>
        <w:ind w:left="3080"/>
      </w:pPr>
      <w:bookmarkStart w:id="2" w:name="bookmark1"/>
      <w:r>
        <w:t>Требования к отчетности</w:t>
      </w:r>
      <w:bookmarkEnd w:id="2"/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По результатам использования субсидии получатель субсидии предоставляет в администрацию отчет об использовании средств бюджета, ежеквартально согласно Приложению 1, в срок не позднее последнего рабочего дня месяца, следующего за отчетным кварталом.</w:t>
      </w:r>
    </w:p>
    <w:p w:rsidR="003B4BB5" w:rsidRDefault="00F133CC">
      <w:pPr>
        <w:pStyle w:val="4"/>
        <w:shd w:val="clear" w:color="auto" w:fill="auto"/>
        <w:spacing w:before="0"/>
        <w:ind w:left="20" w:right="20" w:firstLine="720"/>
      </w:pPr>
      <w:r>
        <w:t>Порядок, сроки и формы предоставления получателем субсидии отчетности, определяются Соглашением.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Результаты предоставления субсидии должны быть конкретными, измеримыми, значения которых устанавливаются в соглашениях.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Возврат субсидии осуществляется в бюджет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 в следующих случаях: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неиспользования субсидии или неполного освоения денежных средств;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firstLine="720"/>
      </w:pPr>
      <w:r>
        <w:t xml:space="preserve">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неисполнения и (или) ненадлежащего исполнения получателем субсидии обязательств, предусмотренных соглашением;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выявления факта предоставления недостоверных сведений для получения средств и (или) документов, подтверждающих затраты;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firstLine="720"/>
      </w:pPr>
      <w:r>
        <w:t xml:space="preserve"> реорганизации или банкротства получателя субсидии;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right="20" w:firstLine="720"/>
      </w:pPr>
      <w:r>
        <w:t xml:space="preserve">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3B4BB5" w:rsidRDefault="00F133CC">
      <w:pPr>
        <w:pStyle w:val="4"/>
        <w:numPr>
          <w:ilvl w:val="0"/>
          <w:numId w:val="8"/>
        </w:numPr>
        <w:shd w:val="clear" w:color="auto" w:fill="auto"/>
        <w:spacing w:before="0"/>
        <w:ind w:left="20" w:firstLine="720"/>
      </w:pPr>
      <w:r>
        <w:t xml:space="preserve"> в иных случаях, предусмотренных действующим законодательством.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Факт нецелевого использования субсидии или невыполнения условий, предусмотренных соглашением о предоставлении субсидии, устанавливается актом </w:t>
      </w:r>
      <w:r>
        <w:lastRenderedPageBreak/>
        <w:t>проверки, в котором указываются выявленные нарушения и сроки их устранения.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 w:after="300"/>
        <w:ind w:left="20" w:right="20" w:firstLine="720"/>
      </w:pPr>
      <w:r>
        <w:t xml:space="preserve">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B4BB5" w:rsidRDefault="00F133C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282"/>
        </w:tabs>
        <w:spacing w:before="0"/>
        <w:ind w:left="1720" w:right="160"/>
        <w:jc w:val="left"/>
      </w:pPr>
      <w:bookmarkStart w:id="3" w:name="bookmark2"/>
      <w: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3"/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Получатель субсидии в течение срока действия соглашения о предоставлении субсидии обязан по требованию Администрации, осуществляющей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за целевым использованием субсидии.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20" w:right="20" w:firstLine="720"/>
        <w:sectPr w:rsidR="003B4BB5">
          <w:type w:val="continuous"/>
          <w:pgSz w:w="11909" w:h="16838"/>
          <w:pgMar w:top="873" w:right="1089" w:bottom="873" w:left="1161" w:header="0" w:footer="3" w:gutter="0"/>
          <w:cols w:space="720"/>
          <w:noEndnote/>
          <w:docGrid w:linePitch="360"/>
        </w:sectPr>
      </w:pPr>
      <w:r>
        <w:t xml:space="preserve"> По результатам использования субсидий получатель бюджетных средств в срок до 20 января следующего за отчетным годом предоставляет в администрацию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 отчет об использовании</w:t>
      </w:r>
    </w:p>
    <w:p w:rsidR="003B4BB5" w:rsidRDefault="00F133CC">
      <w:pPr>
        <w:pStyle w:val="4"/>
        <w:shd w:val="clear" w:color="auto" w:fill="auto"/>
        <w:spacing w:before="0"/>
        <w:ind w:left="740" w:right="80"/>
      </w:pPr>
      <w:r>
        <w:lastRenderedPageBreak/>
        <w:t>средств бюджета сельского поселения с приложением документов, подтверждающих целевое использование предоставленных субсидий, по форме согласно Приложению № 1 к Порядку.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740" w:right="80" w:firstLine="700"/>
      </w:pPr>
      <w:r>
        <w:t xml:space="preserve"> Субсидии, выделенные из бюджета сельского поселения получателям субсидии, носят целевой характер и не могут быть использованы на иные цели.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740" w:right="80" w:firstLine="700"/>
      </w:pPr>
      <w:r>
        <w:t xml:space="preserve"> Главный распорядитель бюджетных средств осуществляет обязательную проверку соблюдений условий, целей и порядка предоставления субсидий их получателями.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740" w:right="80" w:firstLine="700"/>
      </w:pPr>
      <w:r>
        <w:t xml:space="preserve"> Получатель несет ответственность за достоверность представленных им документов и целевое использование субсидий в соответствии с действующим законодательством.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/>
        <w:ind w:left="740" w:right="80" w:firstLine="700"/>
      </w:pPr>
      <w:r>
        <w:t xml:space="preserve"> Главный распорядитель средств бюджета сельского поселения </w:t>
      </w:r>
      <w:r w:rsidR="0052666C">
        <w:t>Демский</w:t>
      </w:r>
      <w:r>
        <w:t xml:space="preserve"> сельсовет принимает меры по взысканию с Получателя средств субсидий, полученных по недостоверным документам, использованных не по целевому назначению, в соответствии с законодательством, в том числе в судебном порядке.</w:t>
      </w:r>
    </w:p>
    <w:p w:rsidR="003B4BB5" w:rsidRDefault="00F133CC">
      <w:pPr>
        <w:pStyle w:val="4"/>
        <w:numPr>
          <w:ilvl w:val="1"/>
          <w:numId w:val="2"/>
        </w:numPr>
        <w:shd w:val="clear" w:color="auto" w:fill="auto"/>
        <w:spacing w:before="0" w:after="1993"/>
        <w:ind w:left="740" w:right="80" w:firstLine="700"/>
      </w:pPr>
      <w:r>
        <w:lastRenderedPageBreak/>
        <w:t xml:space="preserve"> Контроль за правильностью начисления, своевременностью выплаты средств, предусмотренных на выплату субсидии по соглашению о предоставлении субсидии, осуществляет Администрация. Обнаруженные при проверке излишне выплаченные суммы субсидий подлежат возврату в бюджет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 Башкортостан.</w:t>
      </w:r>
    </w:p>
    <w:p w:rsidR="0052666C" w:rsidRDefault="0052666C" w:rsidP="0052666C">
      <w:pPr>
        <w:pStyle w:val="4"/>
        <w:shd w:val="clear" w:color="auto" w:fill="auto"/>
        <w:spacing w:before="0" w:after="1993"/>
        <w:ind w:right="80"/>
      </w:pPr>
    </w:p>
    <w:p w:rsidR="0052666C" w:rsidRDefault="0052666C" w:rsidP="0052666C">
      <w:pPr>
        <w:pStyle w:val="4"/>
        <w:shd w:val="clear" w:color="auto" w:fill="auto"/>
        <w:spacing w:before="0" w:after="1993"/>
        <w:ind w:right="80"/>
      </w:pPr>
    </w:p>
    <w:p w:rsidR="0052666C" w:rsidRDefault="0052666C" w:rsidP="0052666C">
      <w:pPr>
        <w:pStyle w:val="4"/>
        <w:shd w:val="clear" w:color="auto" w:fill="auto"/>
        <w:spacing w:before="0" w:after="1993"/>
        <w:ind w:right="80"/>
      </w:pPr>
    </w:p>
    <w:p w:rsidR="00587696" w:rsidRDefault="00587696" w:rsidP="0052666C">
      <w:pPr>
        <w:pStyle w:val="4"/>
        <w:shd w:val="clear" w:color="auto" w:fill="auto"/>
        <w:spacing w:before="0" w:after="1993"/>
        <w:ind w:right="80"/>
      </w:pPr>
    </w:p>
    <w:p w:rsidR="00587696" w:rsidRDefault="00587696" w:rsidP="0052666C">
      <w:pPr>
        <w:pStyle w:val="4"/>
        <w:shd w:val="clear" w:color="auto" w:fill="auto"/>
        <w:spacing w:before="0" w:after="1993"/>
        <w:ind w:right="80"/>
      </w:pPr>
    </w:p>
    <w:p w:rsidR="00C749D5" w:rsidRDefault="00C749D5" w:rsidP="0052666C">
      <w:pPr>
        <w:pStyle w:val="4"/>
        <w:shd w:val="clear" w:color="auto" w:fill="auto"/>
        <w:spacing w:before="0" w:after="1993"/>
        <w:ind w:right="80"/>
      </w:pPr>
    </w:p>
    <w:p w:rsidR="00C749D5" w:rsidRDefault="00C749D5" w:rsidP="0052666C">
      <w:pPr>
        <w:pStyle w:val="4"/>
        <w:shd w:val="clear" w:color="auto" w:fill="auto"/>
        <w:spacing w:before="0" w:after="1993"/>
        <w:ind w:right="80"/>
      </w:pPr>
    </w:p>
    <w:p w:rsidR="003B4BB5" w:rsidRDefault="00F133CC">
      <w:pPr>
        <w:pStyle w:val="30"/>
        <w:shd w:val="clear" w:color="auto" w:fill="auto"/>
        <w:spacing w:after="0" w:line="230" w:lineRule="exact"/>
        <w:ind w:right="80"/>
        <w:jc w:val="right"/>
      </w:pPr>
      <w:r>
        <w:t>Приложение 1</w:t>
      </w:r>
    </w:p>
    <w:p w:rsidR="003B4BB5" w:rsidRDefault="00F133CC">
      <w:pPr>
        <w:pStyle w:val="30"/>
        <w:shd w:val="clear" w:color="auto" w:fill="auto"/>
        <w:spacing w:after="308" w:line="230" w:lineRule="exact"/>
        <w:ind w:left="5400" w:right="80"/>
        <w:jc w:val="both"/>
      </w:pPr>
      <w:r>
        <w:t xml:space="preserve">к Порядку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</w:t>
      </w:r>
      <w:r w:rsidR="0052666C">
        <w:t xml:space="preserve">Демский сельсовет муниципального района Бижбулякский  </w:t>
      </w:r>
      <w:r>
        <w:t>район Республики</w:t>
      </w:r>
      <w:r w:rsidR="0052666C">
        <w:t xml:space="preserve">  Башкортостан </w:t>
      </w:r>
    </w:p>
    <w:p w:rsidR="003B4BB5" w:rsidRDefault="00F133CC">
      <w:pPr>
        <w:pStyle w:val="41"/>
        <w:shd w:val="clear" w:color="auto" w:fill="auto"/>
        <w:spacing w:before="0" w:after="76" w:line="220" w:lineRule="exact"/>
        <w:ind w:left="5120"/>
      </w:pPr>
      <w:r>
        <w:t>ОТЧЕТ</w:t>
      </w:r>
    </w:p>
    <w:p w:rsidR="003B4BB5" w:rsidRDefault="00F133CC">
      <w:pPr>
        <w:pStyle w:val="23"/>
        <w:framePr w:w="10435" w:wrap="notBeside" w:vAnchor="text" w:hAnchor="text" w:xAlign="center" w:y="1"/>
        <w:shd w:val="clear" w:color="auto" w:fill="auto"/>
        <w:tabs>
          <w:tab w:val="left" w:leader="underscore" w:pos="6965"/>
        </w:tabs>
        <w:spacing w:after="14" w:line="220" w:lineRule="exact"/>
      </w:pPr>
      <w:r>
        <w:t>об использовании субсидии по</w:t>
      </w:r>
      <w:r>
        <w:tab/>
      </w:r>
    </w:p>
    <w:p w:rsidR="003B4BB5" w:rsidRDefault="00F133CC">
      <w:pPr>
        <w:pStyle w:val="a7"/>
        <w:framePr w:w="10435" w:wrap="notBeside" w:vAnchor="text" w:hAnchor="text" w:xAlign="center" w:y="1"/>
        <w:shd w:val="clear" w:color="auto" w:fill="auto"/>
        <w:spacing w:before="0" w:after="19" w:line="140" w:lineRule="exact"/>
      </w:pPr>
      <w:r>
        <w:t>(наименование ресурсоснабжающей организации)</w:t>
      </w:r>
    </w:p>
    <w:p w:rsidR="003B4BB5" w:rsidRDefault="00F133CC">
      <w:pPr>
        <w:pStyle w:val="23"/>
        <w:framePr w:w="10435" w:wrap="notBeside" w:vAnchor="text" w:hAnchor="text" w:xAlign="center" w:y="1"/>
        <w:shd w:val="clear" w:color="auto" w:fill="auto"/>
        <w:tabs>
          <w:tab w:val="right" w:leader="underscore" w:pos="2477"/>
          <w:tab w:val="left" w:leader="underscore" w:pos="2851"/>
          <w:tab w:val="left" w:leader="underscore" w:pos="7901"/>
        </w:tabs>
        <w:spacing w:after="0" w:line="220" w:lineRule="exact"/>
      </w:pPr>
      <w:r>
        <w:t>за</w:t>
      </w:r>
      <w:r>
        <w:tab/>
        <w:t>20</w:t>
      </w:r>
      <w:r>
        <w:tab/>
        <w:t>год по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4"/>
        <w:gridCol w:w="1714"/>
        <w:gridCol w:w="1411"/>
        <w:gridCol w:w="850"/>
        <w:gridCol w:w="1090"/>
        <w:gridCol w:w="850"/>
        <w:gridCol w:w="1282"/>
        <w:gridCol w:w="1526"/>
      </w:tblGrid>
      <w:tr w:rsidR="003B4BB5">
        <w:trPr>
          <w:trHeight w:hRule="exact" w:val="278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5pt"/>
              </w:rPr>
              <w:t>Объем коммунальных услуг отпущенных населению и учреждениям бюджетной сферы, м3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5pt"/>
              </w:rPr>
              <w:t>Фактические расходы на производство и реализацию для населения и бюджетной сферы 1м3 воды и стоков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264" w:lineRule="exact"/>
              <w:jc w:val="center"/>
            </w:pPr>
            <w:r>
              <w:rPr>
                <w:rStyle w:val="95pt"/>
              </w:rPr>
              <w:t>Получено средств из бюджета, рублей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Использовано бюджетных средств, рублей</w:t>
            </w:r>
          </w:p>
        </w:tc>
      </w:tr>
      <w:tr w:rsidR="003B4BB5">
        <w:trPr>
          <w:trHeight w:hRule="exact" w:val="542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всего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274" w:lineRule="exact"/>
              <w:ind w:left="1800" w:hanging="1480"/>
              <w:jc w:val="left"/>
            </w:pPr>
            <w:r>
              <w:rPr>
                <w:rStyle w:val="95pt"/>
              </w:rPr>
              <w:t>Направлено на оплату топливно-энергетических ресурсов</w:t>
            </w:r>
          </w:p>
        </w:tc>
      </w:tr>
      <w:tr w:rsidR="003B4BB5">
        <w:trPr>
          <w:trHeight w:hRule="exact" w:val="1310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BB5" w:rsidRDefault="003B4BB5">
            <w:pPr>
              <w:framePr w:w="10435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"/>
              </w:rPr>
              <w:t>электроэн</w:t>
            </w:r>
          </w:p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газ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259" w:lineRule="exact"/>
              <w:ind w:left="300" w:hanging="80"/>
              <w:jc w:val="left"/>
            </w:pPr>
            <w:r>
              <w:rPr>
                <w:rStyle w:val="95pt"/>
              </w:rPr>
              <w:t>твердое и жидкое топливо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after="120" w:line="190" w:lineRule="exact"/>
              <w:jc w:val="center"/>
            </w:pPr>
            <w:r>
              <w:rPr>
                <w:rStyle w:val="95pt"/>
              </w:rPr>
              <w:t>покупная</w:t>
            </w:r>
          </w:p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</w:rPr>
              <w:t>теплоэнергия</w:t>
            </w:r>
          </w:p>
        </w:tc>
      </w:tr>
      <w:tr w:rsidR="003B4BB5">
        <w:trPr>
          <w:trHeight w:hRule="exact" w:val="34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BB5" w:rsidRDefault="00F133CC">
            <w:pPr>
              <w:pStyle w:val="4"/>
              <w:framePr w:w="1043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8</w:t>
            </w:r>
          </w:p>
        </w:tc>
      </w:tr>
    </w:tbl>
    <w:p w:rsidR="00EA7C88" w:rsidRDefault="00EA7C88">
      <w:pPr>
        <w:rPr>
          <w:sz w:val="2"/>
          <w:szCs w:val="2"/>
        </w:rPr>
        <w:sectPr w:rsidR="00EA7C88">
          <w:type w:val="continuous"/>
          <w:pgSz w:w="11909" w:h="16838"/>
          <w:pgMar w:top="434" w:right="732" w:bottom="405" w:left="732" w:header="0" w:footer="3" w:gutter="0"/>
          <w:cols w:space="720"/>
          <w:noEndnote/>
          <w:docGrid w:linePitch="360"/>
        </w:sectPr>
      </w:pPr>
    </w:p>
    <w:p w:rsidR="003B4BB5" w:rsidRDefault="003B4BB5" w:rsidP="00EA7C88">
      <w:pPr>
        <w:pStyle w:val="30"/>
        <w:shd w:val="clear" w:color="auto" w:fill="auto"/>
        <w:spacing w:after="0" w:line="190" w:lineRule="exact"/>
      </w:pPr>
    </w:p>
    <w:sectPr w:rsidR="003B4BB5" w:rsidSect="00EA7C88">
      <w:pgSz w:w="11909" w:h="16838"/>
      <w:pgMar w:top="1756" w:right="8724" w:bottom="13803" w:left="14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D65" w:rsidRDefault="00F47D65" w:rsidP="003B4BB5">
      <w:r>
        <w:separator/>
      </w:r>
    </w:p>
  </w:endnote>
  <w:endnote w:type="continuationSeparator" w:id="1">
    <w:p w:rsidR="00F47D65" w:rsidRDefault="00F47D65" w:rsidP="003B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D65" w:rsidRDefault="00F47D65"/>
  </w:footnote>
  <w:footnote w:type="continuationSeparator" w:id="1">
    <w:p w:rsidR="00F47D65" w:rsidRDefault="00F47D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28"/>
    <w:multiLevelType w:val="multilevel"/>
    <w:tmpl w:val="58FE8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53A22"/>
    <w:multiLevelType w:val="multilevel"/>
    <w:tmpl w:val="8AB60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B6695"/>
    <w:multiLevelType w:val="multilevel"/>
    <w:tmpl w:val="6CE29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82B89"/>
    <w:multiLevelType w:val="multilevel"/>
    <w:tmpl w:val="DC900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4D9B"/>
    <w:multiLevelType w:val="multilevel"/>
    <w:tmpl w:val="091CD1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D4362"/>
    <w:multiLevelType w:val="multilevel"/>
    <w:tmpl w:val="9DCE5B3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60FBB"/>
    <w:multiLevelType w:val="multilevel"/>
    <w:tmpl w:val="60D43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B4DA1"/>
    <w:multiLevelType w:val="multilevel"/>
    <w:tmpl w:val="CA56DB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4BB5"/>
    <w:rsid w:val="003B4BB5"/>
    <w:rsid w:val="004D396D"/>
    <w:rsid w:val="0052666C"/>
    <w:rsid w:val="0055042D"/>
    <w:rsid w:val="00587696"/>
    <w:rsid w:val="00C749D5"/>
    <w:rsid w:val="00D56019"/>
    <w:rsid w:val="00E5011C"/>
    <w:rsid w:val="00EA7C88"/>
    <w:rsid w:val="00F133CC"/>
    <w:rsid w:val="00F47D65"/>
    <w:rsid w:val="00FC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B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B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3B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3B4BB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3B4B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2"/>
    <w:basedOn w:val="a4"/>
    <w:rsid w:val="003B4B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Основной текст3"/>
    <w:basedOn w:val="a4"/>
    <w:rsid w:val="003B4B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Подпись к таблице (2)_"/>
    <w:basedOn w:val="a0"/>
    <w:link w:val="23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pt">
    <w:name w:val="Основной текст + 9;5 pt;Полужирный"/>
    <w:basedOn w:val="a4"/>
    <w:rsid w:val="003B4BB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3B4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3B4BB5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3B4BB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B4BB5"/>
    <w:pPr>
      <w:shd w:val="clear" w:color="auto" w:fill="FFFFFF"/>
      <w:spacing w:after="60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3B4BB5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3B4BB5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rsid w:val="003B4BB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3B4BB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header"/>
    <w:basedOn w:val="a"/>
    <w:link w:val="a9"/>
    <w:uiPriority w:val="99"/>
    <w:semiHidden/>
    <w:unhideWhenUsed/>
    <w:rsid w:val="005266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666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266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666C"/>
    <w:rPr>
      <w:color w:val="000000"/>
    </w:rPr>
  </w:style>
  <w:style w:type="paragraph" w:customStyle="1" w:styleId="12">
    <w:name w:val="Без интервала1"/>
    <w:rsid w:val="00EA7C88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c">
    <w:name w:val="No Spacing"/>
    <w:link w:val="ad"/>
    <w:uiPriority w:val="99"/>
    <w:qFormat/>
    <w:rsid w:val="0058769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d">
    <w:name w:val="Без интервала Знак"/>
    <w:link w:val="ac"/>
    <w:uiPriority w:val="99"/>
    <w:locked/>
    <w:rsid w:val="00587696"/>
    <w:rPr>
      <w:rFonts w:ascii="Calibri" w:eastAsia="Times New Roman" w:hAnsi="Calibri" w:cs="Times New Roman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5876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76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nternet.garant.ru/document/redirect/12112604/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12112604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3C99-56DF-4048-AEDB-F5C2F100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2022-03-28T11:28:00Z</cp:lastPrinted>
  <dcterms:created xsi:type="dcterms:W3CDTF">2022-03-28T07:23:00Z</dcterms:created>
  <dcterms:modified xsi:type="dcterms:W3CDTF">2022-03-28T11:35:00Z</dcterms:modified>
</cp:coreProperties>
</file>